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0EE" w:rsidRPr="001C0C63" w:rsidRDefault="006700EE" w:rsidP="001C0C63">
      <w:pPr>
        <w:ind w:left="3120"/>
        <w:rPr>
          <w:rFonts w:ascii="Times New Roman" w:eastAsia="Arial" w:hAnsi="Times New Roman" w:cs="Times New Roman"/>
          <w:b/>
          <w:sz w:val="28"/>
          <w:szCs w:val="28"/>
        </w:rPr>
      </w:pPr>
      <w:r w:rsidRPr="001C0C63">
        <w:rPr>
          <w:rFonts w:ascii="Times New Roman" w:eastAsia="Arial" w:hAnsi="Times New Roman" w:cs="Times New Roman"/>
          <w:b/>
          <w:sz w:val="28"/>
          <w:szCs w:val="28"/>
        </w:rPr>
        <w:t>Сетевые подогреватели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firstLine="92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Сетевые подогреватели служат для подогрева паром из отборов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тур-бин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сетевой воды, используемой для отопления, вентиляции и горячего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водо-снабжения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тепловых потребителей. Небольшие сетевые подогревательные установки с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теплопроизводительностью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порядка 10—20 МВт имеются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прак-тически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на всех ГРЭС, где они служат для отопления жилых поселков.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Зна-чительно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более крупные подогревательные установки применяют на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отопи-тельных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ТЭЦ, снабжающих теплотой города и городские районы. На ГРЭС сетевые подогреватели питаются паром из нерегулируемых отборов турбин конденсационного типа, а на ТЭЦ для этой цели используют регулируемые отборы пара с давлением 0,05—0,25 МПа для турбин типов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ПТ.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340" w:firstLine="782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Сетевая установка ГРЭС обычно состоит из двух подогревателей –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 xml:space="preserve">основного и пикового </w:t>
      </w:r>
      <w:r w:rsidRPr="001C0C63">
        <w:rPr>
          <w:rFonts w:ascii="Times New Roman" w:eastAsia="Arial" w:hAnsi="Times New Roman" w:cs="Times New Roman"/>
          <w:sz w:val="28"/>
          <w:szCs w:val="28"/>
        </w:rPr>
        <w:t>рис.57.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2022475</wp:posOffset>
            </wp:positionH>
            <wp:positionV relativeFrom="paragraph">
              <wp:posOffset>249555</wp:posOffset>
            </wp:positionV>
            <wp:extent cx="2226310" cy="2193290"/>
            <wp:effectExtent l="19050" t="0" r="2540" b="0"/>
            <wp:wrapNone/>
            <wp:docPr id="3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6310" cy="21932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right="2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Рис.57. Схема сетевой подогревательной установки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у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конденсационной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тур-бины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на ГРЭС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ОСП и ПСП – основной и пиковый сетевые подогреватели, СН – сетевой насос, КНСП – конденсатный насос сетевых подогревателей, КО –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конденса-тоотводчик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, ТП – тепловой потребитель.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0" w:name="page152"/>
      <w:bookmarkEnd w:id="0"/>
      <w:r w:rsidRPr="001C0C63">
        <w:rPr>
          <w:rFonts w:ascii="Times New Roman" w:eastAsia="Arial" w:hAnsi="Times New Roman" w:cs="Times New Roman"/>
          <w:sz w:val="28"/>
          <w:szCs w:val="28"/>
        </w:rPr>
        <w:t>Основной подогреватель питается паром с давлением 0,05 – 0,15 МПа, пиковый – 0,4 – 0,6 МПа. Основной подогреватель используется в течение всего отопительного периода, а пиковый – только в наиболее холодные дни.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На современных ТЭЦ применяется преимущественно многоступенчатый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по-догрев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сетево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>й воды (рис. 58), обеспечивающий максимальную выработку электроэнергии на тепловом потреблении, высокую тепловую экономичность электростанции и улучшающий регулировочные возможн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>ости схемы.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1C0C63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-217805</wp:posOffset>
            </wp:positionV>
            <wp:extent cx="5781675" cy="3209925"/>
            <wp:effectExtent l="19050" t="0" r="9525" b="0"/>
            <wp:wrapNone/>
            <wp:docPr id="30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32099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Рис. 58. Принципиальная схема сетевой подогревательной установки на ТЭЦ с многоступенчатым подогревом сетевой воды.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КУ – котельная установка, Т – турбина, Г – генератор, ПВК – пиковый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водо-грейный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котел, ТП – тепловой потребитель, СН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1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СН2 – сетевые насосы первого и второго подъемов, ВСП и НСП – верхний и нижний сетевые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подо-греватели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КНС – конденсатный насос сетевых подогревателей, ТПК –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теп-лофикационный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трубный пучок в конденсаторе турбины, ДПП – деаэратор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подпиточной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воды, ППН –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подпиточный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насос, ХВО – химическая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водо-очистка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,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Times New Roman" w:hAnsi="Times New Roman" w:cs="Times New Roman"/>
          <w:noProof/>
          <w:sz w:val="28"/>
          <w:szCs w:val="28"/>
        </w:rPr>
        <w:drawing>
          <wp:inline distT="0" distB="0" distL="0" distR="0">
            <wp:extent cx="228600" cy="23812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– расход сетевой воды,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285875" cy="238125"/>
            <wp:effectExtent l="1905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5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– температура сетевой воды по тракту.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1" w:name="page153"/>
      <w:bookmarkEnd w:id="1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Подогрев сетевой воды может осуществляться в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специаль-ном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>теплофикационном пучке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встроенным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конденсатор турбины, в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ниж-нем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верхнем сетевых подогревателях и в пиковом водогрейном котле (ПВК).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Нижний и верхний подогреватели здесь питаются паром из двух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со-седних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совместно регулируемых отборов турбины. Давление в нижнем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отбо-ре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может поддерживаться постоянным в интервале от 0,05 до 0,2 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МПа, а в верхнем – от 0,06 до 0,25 МПа в зависимости от температурного графика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се-тевой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вод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ы. При использовании для теплофикации указанных отборов пара регулятор давления в отборе подключается к верхнему отбору, и тогда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дав-ление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нижнем отборе будет изменяться в зави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симости от пропуска пара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че-рез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ступени, разделяющие эти два отбора. После подогревателей сетевая вода поступает непосредственно в подающую линию теплосети или при низких температурах наружного воздуха в пиковые водогрейные котлы.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Такая схема сетевой подогревательной установки применяется в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турбоуста-новках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Т-110-130, ПТ-60-130, ПТ-80-130, ПТ-140-130, Т-185-130, Т-250-240.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Максимальная температура сетевой воды определяется технико-экономическими расчетами. Расчетную температуру воды в подающей линии</w:t>
      </w: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обычно принимают 150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57175" cy="238125"/>
            <wp:effectExtent l="19050" t="0" r="9525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, а при небольших установках 130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57175" cy="238125"/>
            <wp:effectExtent l="1905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.</w:t>
      </w: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540"/>
        </w:tabs>
        <w:ind w:left="540" w:hanging="278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более старых теплофикационных турбоустановках (ПТ-50-90, ПТ-25-90, Т-</w:t>
      </w:r>
      <w:proofErr w:type="gramEnd"/>
    </w:p>
    <w:p w:rsidR="006700EE" w:rsidRPr="001C0C63" w:rsidRDefault="006700EE" w:rsidP="001C0C63">
      <w:pPr>
        <w:ind w:left="260" w:right="20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25-90 и др.) применялся двухступенчатый подогрев сетевой воды в основных и пиковых сетевых подогревателях.</w:t>
      </w:r>
      <w:proofErr w:type="gramEnd"/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Применение ПВК вместо пиковых сетевых подогревателей,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питаю-щихся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паром от энергетических котлов через РОУ обеспечивает снижение капитальных затрат на сооружение ТЭЦ до 16% и эксплуатационных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расхо-дов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4%.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При увеличении тепловой нагрузки теплофикационных отборов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447675" cy="276225"/>
            <wp:effectExtent l="1905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67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растет расход пара в турбину и сокращается пропуск пара в ЦНД путем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пе-рекрытия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окон в регулирующих диафрагмах.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При номинальном расходе пара на турбину и минимальном (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вентиляцион-ном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) пропуске пара в ЦНД при полностью закрытых диафрагмах достигается номинальная тепловая нагрузка теплофикационных отборов.</w:t>
      </w:r>
    </w:p>
    <w:p w:rsidR="006700EE" w:rsidRPr="001C0C63" w:rsidRDefault="006700EE" w:rsidP="001C0C63">
      <w:pPr>
        <w:tabs>
          <w:tab w:val="left" w:pos="3000"/>
          <w:tab w:val="left" w:pos="4400"/>
          <w:tab w:val="left" w:pos="6460"/>
        </w:tabs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Показателем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загрузки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отопительных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отборов</w:t>
      </w:r>
    </w:p>
    <w:p w:rsidR="006700EE" w:rsidRPr="001C0C63" w:rsidRDefault="006700EE" w:rsidP="001C0C63">
      <w:pPr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>ТЭЦ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являет-</w:t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  <w:sectPr w:rsidR="006700EE" w:rsidRPr="001C0C63">
          <w:type w:val="continuous"/>
          <w:pgSz w:w="11900" w:h="16838"/>
          <w:pgMar w:top="1138" w:right="846" w:bottom="404" w:left="1440" w:header="0" w:footer="0" w:gutter="0"/>
          <w:cols w:num="3" w:space="0" w:equalWidth="0">
            <w:col w:w="7440" w:space="380"/>
            <w:col w:w="560" w:space="360"/>
            <w:col w:w="880"/>
          </w:cols>
          <w:docGrid w:linePitch="360"/>
        </w:sect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i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>коэффициент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i/>
          <w:sz w:val="28"/>
          <w:szCs w:val="28"/>
        </w:rPr>
        <w:br w:type="column"/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i/>
          <w:sz w:val="28"/>
          <w:szCs w:val="28"/>
        </w:rPr>
      </w:pPr>
      <w:r w:rsidRPr="001C0C63">
        <w:rPr>
          <w:rFonts w:ascii="Times New Roman" w:eastAsia="Arial" w:hAnsi="Times New Roman" w:cs="Times New Roman"/>
          <w:i/>
          <w:sz w:val="28"/>
          <w:szCs w:val="28"/>
        </w:rPr>
        <w:t xml:space="preserve">теплофикации </w:t>
      </w:r>
      <w:r w:rsidRPr="001C0C63">
        <w:rPr>
          <w:rFonts w:ascii="Times New Roman" w:eastAsia="Arial" w:hAnsi="Times New Roman" w:cs="Times New Roman"/>
          <w:i/>
          <w:noProof/>
          <w:sz w:val="28"/>
          <w:szCs w:val="28"/>
        </w:rPr>
        <w:drawing>
          <wp:inline distT="0" distB="0" distL="0" distR="0">
            <wp:extent cx="333375" cy="257175"/>
            <wp:effectExtent l="19050" t="0" r="952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i/>
          <w:sz w:val="28"/>
          <w:szCs w:val="28"/>
        </w:rPr>
        <w:br w:type="column"/>
      </w:r>
    </w:p>
    <w:p w:rsidR="006700EE" w:rsidRPr="001C0C63" w:rsidRDefault="006700EE" w:rsidP="001C0C63">
      <w:pPr>
        <w:tabs>
          <w:tab w:val="left" w:pos="240"/>
        </w:tabs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,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представляющий</w:t>
      </w:r>
      <w:proofErr w:type="gramEnd"/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собой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отношение</w:t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  <w:sectPr w:rsidR="006700EE" w:rsidRPr="001C0C63">
          <w:type w:val="continuous"/>
          <w:pgSz w:w="11900" w:h="16838"/>
          <w:pgMar w:top="1138" w:right="846" w:bottom="404" w:left="1440" w:header="0" w:footer="0" w:gutter="0"/>
          <w:cols w:num="5" w:space="0" w:equalWidth="0">
            <w:col w:w="2260" w:space="200"/>
            <w:col w:w="2360" w:space="80"/>
            <w:col w:w="2320" w:space="200"/>
            <w:col w:w="680" w:space="200"/>
            <w:col w:w="1320"/>
          </w:cols>
          <w:docGrid w:linePitch="360"/>
        </w:sect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максимальной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нагрузки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отборов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428625" cy="276225"/>
            <wp:effectExtent l="19050" t="0" r="952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tabs>
          <w:tab w:val="left" w:pos="280"/>
        </w:tabs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к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полному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jc w:val="center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максимальному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br w:type="column"/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потоку</w:t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  <w:sectPr w:rsidR="006700EE" w:rsidRPr="001C0C63">
          <w:type w:val="continuous"/>
          <w:pgSz w:w="11900" w:h="16838"/>
          <w:pgMar w:top="1138" w:right="846" w:bottom="404" w:left="1440" w:header="0" w:footer="0" w:gutter="0"/>
          <w:cols w:num="6" w:space="0" w:equalWidth="0">
            <w:col w:w="1980" w:space="180"/>
            <w:col w:w="1060" w:space="180"/>
            <w:col w:w="1700" w:space="100"/>
            <w:col w:w="1340" w:space="180"/>
            <w:col w:w="1900" w:space="160"/>
            <w:col w:w="840"/>
          </w:cols>
          <w:docGrid w:linePitch="360"/>
        </w:sect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теплоты с ТЭЦ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52425" cy="257175"/>
            <wp:effectExtent l="19050" t="0" r="9525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242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при расчетной температуре наружного воздуха,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вклю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340" w:right="20" w:hanging="69"/>
        <w:rPr>
          <w:rFonts w:ascii="Times New Roman" w:eastAsia="Arial" w:hAnsi="Times New Roman" w:cs="Times New Roman"/>
          <w:sz w:val="28"/>
          <w:szCs w:val="28"/>
        </w:rPr>
      </w:pPr>
      <w:bookmarkStart w:id="2" w:name="page154"/>
      <w:bookmarkEnd w:id="2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чающему в себя дополнительный поток теплоты от пиковой котельной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428625" cy="276225"/>
            <wp:effectExtent l="19050" t="0" r="9525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8625" cy="276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.</w:t>
      </w:r>
      <w:proofErr w:type="gramEnd"/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2028190</wp:posOffset>
            </wp:positionH>
            <wp:positionV relativeFrom="paragraph">
              <wp:posOffset>248285</wp:posOffset>
            </wp:positionV>
            <wp:extent cx="2164080" cy="544195"/>
            <wp:effectExtent l="19050" t="0" r="7620" b="0"/>
            <wp:wrapNone/>
            <wp:docPr id="2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4080" cy="544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662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.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Экономичность теплофикации в значительной степени зависит от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правильно-го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выбора значения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>коэффициента теплофикации</w:t>
      </w:r>
      <w:r w:rsidRPr="001C0C63">
        <w:rPr>
          <w:rFonts w:ascii="Times New Roman" w:eastAsia="Arial" w:hAnsi="Times New Roman" w:cs="Times New Roman"/>
          <w:sz w:val="28"/>
          <w:szCs w:val="28"/>
        </w:rPr>
        <w:t>, определяемого путем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технико-экономических расчетов. Чем больше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33375" cy="257175"/>
            <wp:effectExtent l="19050" t="0" r="9525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,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тем больше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комбиниро-ванная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выработка электрической и тепловой энергии и тем меньше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суммар-ный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расход топлива на эту выработку в течение года. Однако при этом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уве-личивается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стоимость оборудования ТЭЦ, так как энергетические котлы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зна-чительно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дороже ПВК, а требующаяся производительность энергетических</w:t>
      </w:r>
    </w:p>
    <w:p w:rsidR="006700EE" w:rsidRPr="001C0C63" w:rsidRDefault="006700EE" w:rsidP="001C0C63">
      <w:pPr>
        <w:ind w:left="340" w:hanging="69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котлов в этом случае возрастает. Экономически оптимальное значение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33375" cy="257175"/>
            <wp:effectExtent l="19050" t="0" r="9525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возрастает с ростом цены топлива и технического совершенства агрегатов.</w:t>
      </w: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Для крупных городов оптимальное значение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33375" cy="257175"/>
            <wp:effectExtent l="19050" t="0" r="952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3375" cy="25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при использовании турбин Т-110-130 составляет 0,5 – 0,55, а при турбинах Т-250-240 – 0,6 – 0,65. Качество сетевой воды, прокачиваемой через поверхности нагрева сетевых подогревателей, значительно ниже качества конденсата турбин. В ней могут присутствовать продукты коррозии, соли жесткости и другие примеси.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Попа-дание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сетевой воды в конденсат греющего пара недопустимо, поэтому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обес-печение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высокой плотности сетевых подогревателей является важной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зада-чей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конструкторов. Греющий пар омывает трубки снаружи, а сетевая вода циркулирует внутри трубок. Наличие примесей в сетевой воде и возможность их отложения на поверхностях нагрева исключают применение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сетевых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по-догревателях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гнутых трубок, не допускающих их внутреннюю чистку.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 зависимости от температурного графика теплосети подогрев воды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сетевых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подогревателях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осуществляется от 40–70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57175" cy="238125"/>
            <wp:effectExtent l="19050" t="0" r="9525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до 70–120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57175" cy="238125"/>
            <wp:effectExtent l="19050" t="0" r="9525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для этого используется пар отборов с давлением в большинстве режимов ниже атмосферного. Это усугубляет требование к высокой плотности сетевых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по-догревателей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вызывает необходимость применения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>воздухоотсасывающих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устройств –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эжекторных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установок – для удаления воздуха и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неконденсиру-ющихся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газов из зоны теплообмена.</w:t>
      </w:r>
    </w:p>
    <w:p w:rsidR="006700EE" w:rsidRPr="001C0C63" w:rsidRDefault="006700EE" w:rsidP="001C0C63">
      <w:pPr>
        <w:tabs>
          <w:tab w:val="left" w:pos="2160"/>
          <w:tab w:val="left" w:pos="4420"/>
          <w:tab w:val="left" w:pos="6400"/>
          <w:tab w:val="left" w:pos="8040"/>
        </w:tabs>
        <w:ind w:left="112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По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конструкции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различают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r w:rsidRPr="001C0C63">
        <w:rPr>
          <w:rFonts w:ascii="Times New Roman" w:eastAsia="Arial" w:hAnsi="Times New Roman" w:cs="Times New Roman"/>
          <w:sz w:val="28"/>
          <w:szCs w:val="28"/>
        </w:rPr>
        <w:t>сетевые</w:t>
      </w:r>
      <w:r w:rsidRPr="001C0C63">
        <w:rPr>
          <w:rFonts w:ascii="Times New Roman" w:eastAsia="Times New Roman" w:hAnsi="Times New Roman" w:cs="Times New Roman"/>
          <w:sz w:val="28"/>
          <w:szCs w:val="28"/>
        </w:rPr>
        <w:tab/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подогревате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ли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>вертикального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>горизонтального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типов.</w:t>
      </w:r>
    </w:p>
    <w:p w:rsidR="006700EE" w:rsidRPr="001C0C63" w:rsidRDefault="006700EE" w:rsidP="001C0C63">
      <w:pPr>
        <w:numPr>
          <w:ilvl w:val="1"/>
          <w:numId w:val="1"/>
        </w:numPr>
        <w:tabs>
          <w:tab w:val="clear" w:pos="0"/>
          <w:tab w:val="left" w:pos="1416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3" w:name="page155"/>
      <w:bookmarkEnd w:id="3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соответствии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 отраслевым стандартом (ОСТ) первые обозначают буквами ПСВ, а вторые – ПСГ.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Вертикальные сетевые подогреватели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выпус-каются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Саратовским заводом энергетического машиностроения и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использу-ются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сетевых подогревательных установках небольшой и умеренной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теп-лопроизводительности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– на ГРЭС и на теплофикационных установках ЛМЗ –</w:t>
      </w:r>
      <w:proofErr w:type="gramEnd"/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489"/>
        </w:tabs>
        <w:ind w:left="1120" w:hanging="858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имеют поверхности теплообмена 45, 63, 90, 125, 200, 315 и 500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. Сетевые установки современных крупных теплофикационных турбин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изготовления Уральского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турбомоторного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завода (ТМЗ) оборудуются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гори-зонтальными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сетевыми подогревателями изготовления этого же завода.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Марка сетевого подогревателя, например, ПСГ-1300-3-8-I. В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соответ-ствии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 ОСТ первая цифра в обозначении подогревателя соответствует по-</w:t>
      </w: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верхности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теплообмена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(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28600" cy="228600"/>
            <wp:effectExtent l="1905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1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" cy="228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), 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вторая и третья цифры – максимальные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рабо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чие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давления пара и сетевой воды (кгс/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323850" cy="238125"/>
            <wp:effectExtent l="1905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1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3850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)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, четвертая (римская) цифра – модификация аппарата.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Горизонтальные сетевые подогреватели обеспечивают более удобную их компоновку в машинном зале и сокращение длины подводящих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трубопро-водов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отборов пара. На рис. 59 изображен сетевой подогреватель вертикаль-</w:t>
      </w:r>
    </w:p>
    <w:p w:rsidR="006700EE" w:rsidRPr="001C0C63" w:rsidRDefault="006700EE" w:rsidP="001C0C63">
      <w:pPr>
        <w:tabs>
          <w:tab w:val="left" w:pos="1080"/>
        </w:tabs>
        <w:ind w:left="1100" w:hanging="837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ного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ab/>
        <w:t xml:space="preserve">типа. Теплофикационная турбина с одним сетевым подогревателем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пред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ставляет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собой как бы две турбины с двумя конденсаторами: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конденсацион-ный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поток пара проходит всю турбину и поступает в конденсатор, 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тепло-фикационный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— только через часть турбины и поступает в сетевой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подогре-ватель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который играет роль конденсатора. Отсюда следует роль сетевого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по-догревателя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: она зависит от соотношения значений конденсационного и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теп-лофикационного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потоков пара и от работоспособности теплофикационного потока.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Поскольку работоспособность теплофикационного потока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существен-но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меньше, чем конденсационного, так как давление за первым больше, то даже небольшое изменение давления в камере отбора турбины приводит к существенному изменению работоспособности пара, мощности и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экономич-ности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теплофикационного потока. Особенно велико влияние давления в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от-боре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при работе в чисто теплофикационном режиме, когда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теплофикацион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>ная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турбина работает как турбина с противодавлением. На турбинах современных ТЭЦ обычно используют ступенчатый подогрев сетевой воды в нескольких сетевых подогревателях, обычно в двух. В такой турбине протекает как бы три потока пара: два теплофикационных и один</w:t>
      </w: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bookmarkStart w:id="4" w:name="page156"/>
      <w:bookmarkEnd w:id="4"/>
      <w:r w:rsidRPr="001C0C63">
        <w:rPr>
          <w:rFonts w:ascii="Times New Roman" w:eastAsia="Arial" w:hAnsi="Times New Roman" w:cs="Times New Roman"/>
          <w:sz w:val="28"/>
          <w:szCs w:val="28"/>
        </w:rPr>
        <w:t>конденсационный.</w:t>
      </w:r>
    </w:p>
    <w:p w:rsidR="006700EE" w:rsidRPr="001C0C63" w:rsidRDefault="006700EE" w:rsidP="001C0C63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Для теплофикационных установок ТЭЦ выпускают сетевые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подогре-ватели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двух типов: вертикальные (ПСВ) и горизонтальные (ПСГ).</w:t>
      </w:r>
    </w:p>
    <w:p w:rsidR="006700EE" w:rsidRPr="001C0C63" w:rsidRDefault="006700EE" w:rsidP="001C0C63">
      <w:pPr>
        <w:ind w:left="260" w:firstLine="838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i/>
          <w:sz w:val="28"/>
          <w:szCs w:val="28"/>
        </w:rPr>
        <w:t xml:space="preserve">Вертикальные сетевые подогреватели 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выпускаются Саратовским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за-водом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энергетического машиностроения, имеют поверхность теплообмена вплоть до 500 м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. Ими комплектуются те</w:t>
      </w:r>
      <w:r w:rsidR="001C0C63">
        <w:rPr>
          <w:rFonts w:ascii="Times New Roman" w:eastAsia="Arial" w:hAnsi="Times New Roman" w:cs="Times New Roman"/>
          <w:sz w:val="28"/>
          <w:szCs w:val="28"/>
        </w:rPr>
        <w:t>плофикационные установки некото</w:t>
      </w:r>
      <w:r w:rsidRPr="001C0C63">
        <w:rPr>
          <w:rFonts w:ascii="Times New Roman" w:eastAsia="Arial" w:hAnsi="Times New Roman" w:cs="Times New Roman"/>
          <w:sz w:val="28"/>
          <w:szCs w:val="28"/>
        </w:rPr>
        <w:t>рых турбин ЛМЗ. Для теплофикационных установок мощных турбин  используются ПСГ, поверхности теплообмена которых достигают 5000 м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="001C0C63">
        <w:rPr>
          <w:rFonts w:ascii="Times New Roman" w:eastAsia="Arial" w:hAnsi="Times New Roman" w:cs="Times New Roman"/>
          <w:sz w:val="28"/>
          <w:szCs w:val="28"/>
        </w:rPr>
        <w:t>. Они выпускают</w:t>
      </w:r>
      <w:r w:rsidRPr="001C0C63">
        <w:rPr>
          <w:rFonts w:ascii="Times New Roman" w:eastAsia="Arial" w:hAnsi="Times New Roman" w:cs="Times New Roman"/>
          <w:sz w:val="28"/>
          <w:szCs w:val="28"/>
        </w:rPr>
        <w:t>ся турбинными заводами.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Подогреватель сетевой воды ПСВ </w:t>
      </w:r>
      <w:r w:rsidRPr="001C0C63">
        <w:rPr>
          <w:rFonts w:ascii="Times New Roman" w:eastAsia="Arial" w:hAnsi="Times New Roman" w:cs="Times New Roman"/>
          <w:sz w:val="28"/>
          <w:szCs w:val="28"/>
        </w:rPr>
        <w:t>является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 теплообменником </w:t>
      </w:r>
      <w:r w:rsidRPr="001C0C63">
        <w:rPr>
          <w:rFonts w:ascii="Times New Roman" w:eastAsia="Arial" w:hAnsi="Times New Roman" w:cs="Times New Roman"/>
          <w:sz w:val="28"/>
          <w:szCs w:val="28"/>
        </w:rPr>
        <w:t>для нагрева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сетевой воды паром из отборов турбин и котлов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низким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давлени-ем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. 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>Подогреватели ПСВ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монтируются вертикально и имеют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структу-ру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1C0C63">
        <w:rPr>
          <w:rFonts w:ascii="Times New Roman" w:eastAsia="Arial" w:hAnsi="Times New Roman" w:cs="Times New Roman"/>
          <w:b/>
          <w:sz w:val="28"/>
          <w:szCs w:val="28"/>
        </w:rPr>
        <w:t>кожухотрубного</w:t>
      </w:r>
      <w:proofErr w:type="spellEnd"/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 теплообменника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где основными узлами является: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Обе-чайка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нижняя водяная камера, верхняя водяная камера, 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трубная </w:t>
      </w:r>
      <w:proofErr w:type="spellStart"/>
      <w:r w:rsidRPr="001C0C63">
        <w:rPr>
          <w:rFonts w:ascii="Times New Roman" w:eastAsia="Arial" w:hAnsi="Times New Roman" w:cs="Times New Roman"/>
          <w:b/>
          <w:sz w:val="28"/>
          <w:szCs w:val="28"/>
        </w:rPr>
        <w:t>систе-ма</w:t>
      </w:r>
      <w:proofErr w:type="spellEnd"/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sz w:val="28"/>
          <w:szCs w:val="28"/>
        </w:rPr>
        <w:t>(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>пучок трубок</w:t>
      </w:r>
      <w:r w:rsidRPr="001C0C63">
        <w:rPr>
          <w:rFonts w:ascii="Times New Roman" w:eastAsia="Arial" w:hAnsi="Times New Roman" w:cs="Times New Roman"/>
          <w:sz w:val="28"/>
          <w:szCs w:val="28"/>
        </w:rPr>
        <w:t>).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 Трубный </w:t>
      </w:r>
      <w:proofErr w:type="spellStart"/>
      <w:r w:rsidRPr="001C0C63">
        <w:rPr>
          <w:rFonts w:ascii="Times New Roman" w:eastAsia="Arial" w:hAnsi="Times New Roman" w:cs="Times New Roman"/>
          <w:b/>
          <w:sz w:val="28"/>
          <w:szCs w:val="28"/>
        </w:rPr>
        <w:t>пучок</w:t>
      </w:r>
      <w:r w:rsidRPr="001C0C63">
        <w:rPr>
          <w:rFonts w:ascii="Times New Roman" w:eastAsia="Arial" w:hAnsi="Times New Roman" w:cs="Times New Roman"/>
          <w:sz w:val="28"/>
          <w:szCs w:val="28"/>
        </w:rPr>
        <w:t>изготавливается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из следующего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матери-ала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: латунь (Л-68), нержавейка (12Х18Н10Т),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медно-никеливый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сплав (МНЖ5-1). Трубки имеют следующий размер: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Ду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19 мм.* 1мм. Наш завод имеет возможность изготовления </w:t>
      </w:r>
      <w:r w:rsidRPr="001C0C63">
        <w:rPr>
          <w:rFonts w:ascii="Times New Roman" w:eastAsia="Arial" w:hAnsi="Times New Roman" w:cs="Times New Roman"/>
          <w:b/>
          <w:sz w:val="28"/>
          <w:szCs w:val="28"/>
        </w:rPr>
        <w:t>подогревателей сетевой воды ПСВ</w:t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до-полнительным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нижним фланцевым разъемом, что позволяет упростить его профилактический осмотр и обслуживание.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166370</wp:posOffset>
            </wp:positionH>
            <wp:positionV relativeFrom="paragraph">
              <wp:posOffset>234315</wp:posOffset>
            </wp:positionV>
            <wp:extent cx="5828030" cy="3921125"/>
            <wp:effectExtent l="19050" t="0" r="1270" b="0"/>
            <wp:wrapNone/>
            <wp:docPr id="2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2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8030" cy="3921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  <w:bookmarkStart w:id="5" w:name="page157"/>
      <w:bookmarkEnd w:id="5"/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b/>
          <w:sz w:val="28"/>
          <w:szCs w:val="28"/>
        </w:rPr>
      </w:pPr>
      <w:r w:rsidRPr="001C0C63">
        <w:rPr>
          <w:rFonts w:ascii="Times New Roman" w:eastAsia="Arial" w:hAnsi="Times New Roman" w:cs="Times New Roman"/>
          <w:b/>
          <w:sz w:val="28"/>
          <w:szCs w:val="28"/>
        </w:rPr>
        <w:t>Маркировка ПСВ-125-7-15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этоподогревательсетевой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воды вертикального 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видас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 поверхностью  нагрева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780"/>
        </w:tabs>
        <w:ind w:left="260" w:firstLine="2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метров квадратных, максимальным рабочим давлением пара в 7 кгс/см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максимальным давлением нагреваемой воды в трубной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касете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15 кгс/см</w:t>
      </w:r>
      <w:r w:rsidRPr="001C0C63">
        <w:rPr>
          <w:rFonts w:ascii="Times New Roman" w:eastAsia="Arial" w:hAnsi="Times New Roman" w:cs="Times New Roman"/>
          <w:sz w:val="28"/>
          <w:szCs w:val="28"/>
          <w:vertAlign w:val="superscript"/>
        </w:rPr>
        <w:t>2</w:t>
      </w:r>
      <w:r w:rsidRPr="001C0C63">
        <w:rPr>
          <w:rFonts w:ascii="Times New Roman" w:eastAsia="Arial" w:hAnsi="Times New Roman" w:cs="Times New Roman"/>
          <w:sz w:val="28"/>
          <w:szCs w:val="28"/>
        </w:rPr>
        <w:t>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1C0C63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771525</wp:posOffset>
            </wp:positionH>
            <wp:positionV relativeFrom="paragraph">
              <wp:posOffset>-503555</wp:posOffset>
            </wp:positionV>
            <wp:extent cx="4810125" cy="6048375"/>
            <wp:effectExtent l="19050" t="0" r="9525" b="0"/>
            <wp:wrapNone/>
            <wp:docPr id="27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6048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1C0C63" w:rsidRDefault="001C0C63" w:rsidP="001C0C63">
      <w:pPr>
        <w:ind w:left="1860"/>
        <w:rPr>
          <w:rFonts w:ascii="Times New Roman" w:eastAsia="Arial" w:hAnsi="Times New Roman" w:cs="Times New Roman"/>
          <w:sz w:val="28"/>
          <w:szCs w:val="28"/>
        </w:rPr>
      </w:pPr>
    </w:p>
    <w:p w:rsidR="001C0C63" w:rsidRDefault="001C0C63" w:rsidP="001C0C63">
      <w:pPr>
        <w:ind w:left="1860"/>
        <w:rPr>
          <w:rFonts w:ascii="Times New Roman" w:eastAsia="Arial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18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Рис. 59. Конструкция вертикального подогревателя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А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,Б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– патрубки подвода и отвода сетевой воды; В – подвод греющего пара; Г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– подвод дренажа (конденсата греющего пара) от подогревателя с более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вы-соким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давлением греющего пара при каскадном сливе; Д – отвод дренажа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из</w:t>
      </w:r>
      <w:proofErr w:type="gramEnd"/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6" w:name="page158"/>
      <w:bookmarkEnd w:id="6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подогревателя; Е – отсос паровоздушной смеси; Ж –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щтуцер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для спуска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сете-вой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воды из нижней («плавающей») водяной камеры; И – штуцер для спуска сетевой воды на нижнем днище корпуса подогревателя; К – датчик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дистан-ционного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измерителя уровня дренажа в корпусе подогревателя; 1 – верхняя водяная камера; 2 – корпус подогревателя; 3 – трубная система; 4 – анкерные трубки каркаса трубного пучка;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5 – «плавающая» водяная камера; 6 –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анкер-ные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связи трубной доски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Подогреватель состоит из цилиндрического корпуса с большим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па-трубком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для ввода греющего пара и расположенной над корпусом верхней водяной камеры со сдвоенным патрубком для подвода и отвода сетевой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во-ды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.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Внутри корпуса размещается поверхность нагрева в виде пучка прямых труб диаметром 19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123825" cy="142875"/>
            <wp:effectExtent l="19050" t="0" r="9525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825" cy="1428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1 мм.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Трубы верхними концами развальцованы в трубной доске, прижатой шпильками к фланцу корпуса. К трубной доске на шпильках крепится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фла-нец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верхней водяной камеры. Нижние концы труб развальцованы в другой трубной доске, к которой на фланце присоединяется крышка нижней водяной камеры. Таким образом, нижняя камера подвешена на трубах поверхности нагрева и может перемещаться вверх или вниз при их температурном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удли-нении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или укорочении.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Трубы изготовляются из латуни, имеющей более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высокий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коэффици-ент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температурного удлинения, чем сталь корпуса. Длина труб составляет 4– 4,5 м. Температура сетевой воды на входе в подогреватель и ее подогрев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из-меняются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зависимости от температурного режима теплосети и режима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ра-боты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теплофикационной установки. Максимально подогрев сетевой воды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подогревателе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составляет 20–40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57175" cy="238125"/>
            <wp:effectExtent l="19050" t="0" r="9525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. Соответственно в процессе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эксплуата-ции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изменяется и температура труб поверхности нагрева подогревателя. Корпус подогревателя при работе приобретает температуру, близкую к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тем-пературе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насыщения греющего пара отбора, которая всегда выше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температу-ры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сетевой воды. В результате возникает переменная разность температур между корпусом и трубами подогревателя, которая максимально может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до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стигать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20–30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57175" cy="238125"/>
            <wp:effectExtent l="19050" t="0" r="9525" b="0"/>
            <wp:docPr id="20" name="Рисунок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71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Подвешенную на трубах нижнюю водяную камеру принято называть плавающей камерой, ее вертикальные перемещения компенсируют разность температурных удлинений труб и корпуса подогревателя и тем самым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ис-ключают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появление в трубах компенсационных усилий и напряжений. Для разгрузки трубных досок от нагрузки, вызванной разностью давлений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сете-вой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воды и греющего пара, используются анкерные связи (их обычно шесть),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7" w:name="page159"/>
      <w:bookmarkEnd w:id="7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соединяющие трубные доски с крышками водяных камер. Корпус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подогрева-теля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месте приварки парового патрубка усиливается накладкой. К нему привариваются также лапы для крепления подогревателя на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металлокон-струкциях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. На чертеже (рис. 59) сдвоенный патрубок на верхней водяной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ка-мере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для подвода и отвода сетевой воды изображен с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торосферическими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за-глушками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одна из которых снабжена патрубком с фланцем. Заглушки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необ-ходимы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для проведения гидравлической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опрессовки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трубной системы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аппа-рата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при его монтаже срезаются. В самом низу корпуса подогревателя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име-ется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фланец для присоединения трубопровода отвода дренажа (конденсата греющего пара). Выше него на корпусе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подогревателя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на уровне плавающей водяной камеры имеется другой патрубок, служащий для подвода греющего пара от верхнего (пикового) сетевого подогревателя при каскадном сливе. В нижней части плавающей камеры имеется штуцер для опорожнения трубной системы от сетевой воды перед ремонтом. Этот штуцер при помощи гибкой трубки, не изображенной на рис. 59, присоединяется к штуцеру на нижнем днище корпуса подогревателя, сбоку от фланца для отвода дренажа. На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кор-пусе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подогревателя выше плавающей водяной камеры расположен штуцер для отсоса воздуха из подогревателя.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Для предохранения труб греющей секции от эрозии каплями воды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,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поступающими с влажным паром из отбора, служит отбойный щиток,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уста-навливаемый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месте ввода греющего пара. На патрубках подвода греющего пара, подвода и отвода сетевой воды устанавливаются гильзы для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термомет-ров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а у парового патрубка имеется штуцер для присоединения манометра. В нижней части корпуса подогревателя устанавливается водоуказательное стекло для измерения уровня дренажа. Рядом с ним имеется штуцер для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при-соединения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импульсного устройства для автоматического регулирования уровня дренажа в подогревателе.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Поперечное обтекание паром трубного пучка обеспечивается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установ-кой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горизонтальных направляющих перегородок, каждая из которых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пере-крывает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немного более половины площади горизонтального сечения корпуса подогревателя. Общее количество горизонтальных перегородок по высоте корпуса подогревателя может достигать шести. Горизонтальные перегородки</w:t>
      </w: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502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вертикальный отбойный щиток крепятся электросваркой на анкерных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тру-бах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>, соединяющих верхнюю и нижнюю трубные доски (у подогревателя, изображенного на рис. 59, имеется восемь таких трубчатых связей).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Верхняя и нижняя водяные камеры снабжаются перегородками,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обес-печивающими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дву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х-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или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четырехходовое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движение воды в подогревателе. Увеличение числа ходов воды приводит к увеличению скорости воды и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ко-эффициента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теплоотдачи, что позволяет получить экономию на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капитало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8" w:name="page160"/>
      <w:bookmarkEnd w:id="8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вложениях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(меньше поверхность нагрева и затрата металла на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подогрева-тель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). Одновременно увеличивается гидравлическое сопротивление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подогре-вателя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 сетевой воде и это приводит к перерасходу электроэнергии на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при-вод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сетевых насосов,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а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следовательно, и к росту эксплуатационных расходов. Оптимальное решение находится технико-экономическими расчетами.</w:t>
      </w:r>
    </w:p>
    <w:p w:rsidR="001C0C63" w:rsidRDefault="001C0C63" w:rsidP="001C0C63">
      <w:pPr>
        <w:ind w:left="1600"/>
        <w:rPr>
          <w:rFonts w:ascii="Times New Roman" w:eastAsia="Arial" w:hAnsi="Times New Roman" w:cs="Times New Roman"/>
          <w:b/>
          <w:sz w:val="28"/>
          <w:szCs w:val="28"/>
        </w:rPr>
      </w:pPr>
    </w:p>
    <w:p w:rsidR="006700EE" w:rsidRPr="001C0C63" w:rsidRDefault="006700EE" w:rsidP="001C0C63">
      <w:pPr>
        <w:ind w:left="1600"/>
        <w:rPr>
          <w:rFonts w:ascii="Times New Roman" w:eastAsia="Arial" w:hAnsi="Times New Roman" w:cs="Times New Roman"/>
          <w:b/>
          <w:sz w:val="28"/>
          <w:szCs w:val="28"/>
        </w:rPr>
      </w:pPr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Конструкция </w:t>
      </w:r>
      <w:proofErr w:type="gramStart"/>
      <w:r w:rsidRPr="001C0C63">
        <w:rPr>
          <w:rFonts w:ascii="Times New Roman" w:eastAsia="Arial" w:hAnsi="Times New Roman" w:cs="Times New Roman"/>
          <w:b/>
          <w:sz w:val="28"/>
          <w:szCs w:val="28"/>
        </w:rPr>
        <w:t>горизонтального</w:t>
      </w:r>
      <w:proofErr w:type="gramEnd"/>
      <w:r w:rsidRPr="001C0C63">
        <w:rPr>
          <w:rFonts w:ascii="Times New Roman" w:eastAsia="Arial" w:hAnsi="Times New Roman" w:cs="Times New Roman"/>
          <w:b/>
          <w:sz w:val="28"/>
          <w:szCs w:val="28"/>
        </w:rPr>
        <w:t xml:space="preserve"> сетевого </w:t>
      </w:r>
      <w:proofErr w:type="spellStart"/>
      <w:r w:rsidRPr="001C0C63">
        <w:rPr>
          <w:rFonts w:ascii="Times New Roman" w:eastAsia="Arial" w:hAnsi="Times New Roman" w:cs="Times New Roman"/>
          <w:b/>
          <w:sz w:val="28"/>
          <w:szCs w:val="28"/>
        </w:rPr>
        <w:t>погревателя</w:t>
      </w:r>
      <w:proofErr w:type="spellEnd"/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580"/>
        </w:tabs>
        <w:ind w:left="580" w:hanging="256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качестве примера рассмотрим конструкцию 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 xml:space="preserve">горизонтального сетевого </w:t>
      </w:r>
      <w:proofErr w:type="gramStart"/>
      <w:r w:rsidRPr="001C0C63">
        <w:rPr>
          <w:rFonts w:ascii="Times New Roman" w:eastAsia="Arial" w:hAnsi="Times New Roman" w:cs="Times New Roman"/>
          <w:i/>
          <w:sz w:val="28"/>
          <w:szCs w:val="28"/>
        </w:rPr>
        <w:t>по</w:t>
      </w:r>
      <w:proofErr w:type="gramEnd"/>
      <w:r w:rsidRPr="001C0C63">
        <w:rPr>
          <w:rFonts w:ascii="Times New Roman" w:eastAsia="Arial" w:hAnsi="Times New Roman" w:cs="Times New Roman"/>
          <w:i/>
          <w:sz w:val="28"/>
          <w:szCs w:val="28"/>
        </w:rPr>
        <w:t>-</w:t>
      </w:r>
    </w:p>
    <w:p w:rsidR="006700EE" w:rsidRPr="001C0C63" w:rsidRDefault="006700EE" w:rsidP="001C0C63">
      <w:pPr>
        <w:rPr>
          <w:rFonts w:ascii="Times New Roman" w:eastAsia="Arial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2460"/>
        <w:rPr>
          <w:rFonts w:ascii="Times New Roman" w:eastAsia="Arial" w:hAnsi="Times New Roman" w:cs="Times New Roman"/>
          <w:sz w:val="28"/>
          <w:szCs w:val="28"/>
        </w:rPr>
      </w:pPr>
      <w:proofErr w:type="spellStart"/>
      <w:r w:rsidRPr="001C0C63">
        <w:rPr>
          <w:rFonts w:ascii="Times New Roman" w:eastAsia="Arial" w:hAnsi="Times New Roman" w:cs="Times New Roman"/>
          <w:i/>
          <w:sz w:val="28"/>
          <w:szCs w:val="28"/>
        </w:rPr>
        <w:t>догревателя</w:t>
      </w:r>
      <w:proofErr w:type="spellEnd"/>
      <w:r w:rsidRPr="001C0C63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sz w:val="28"/>
          <w:szCs w:val="28"/>
        </w:rPr>
        <w:t>(ПСГ)</w:t>
      </w:r>
      <w:r w:rsidRPr="001C0C63">
        <w:rPr>
          <w:rFonts w:ascii="Times New Roman" w:eastAsia="Arial" w:hAnsi="Times New Roman" w:cs="Times New Roman"/>
          <w:i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sz w:val="28"/>
          <w:szCs w:val="28"/>
        </w:rPr>
        <w:t>типа ПСГ-1300-3-8-II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1C0C63" w:rsidP="001C0C6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619125</wp:posOffset>
            </wp:positionH>
            <wp:positionV relativeFrom="paragraph">
              <wp:posOffset>-636905</wp:posOffset>
            </wp:positionV>
            <wp:extent cx="4838700" cy="5819775"/>
            <wp:effectExtent l="19050" t="0" r="0" b="0"/>
            <wp:wrapNone/>
            <wp:docPr id="26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38700" cy="58197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ind w:left="700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Рис. 60. Горизонтальный сетевой подогреватель типа ПСГ-1300-3-8-II</w:t>
      </w:r>
    </w:p>
    <w:p w:rsidR="006700EE" w:rsidRPr="001C0C63" w:rsidRDefault="006700EE" w:rsidP="001C0C63">
      <w:pPr>
        <w:rPr>
          <w:rFonts w:ascii="Times New Roman" w:eastAsia="Times New Roman" w:hAnsi="Times New Roman" w:cs="Times New Roman"/>
          <w:sz w:val="28"/>
          <w:szCs w:val="28"/>
        </w:rPr>
      </w:pP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558"/>
        </w:tabs>
        <w:ind w:left="260" w:firstLine="2"/>
        <w:jc w:val="both"/>
        <w:rPr>
          <w:rFonts w:ascii="Times New Roman" w:eastAsia="Arial" w:hAnsi="Times New Roman" w:cs="Times New Roman"/>
          <w:sz w:val="28"/>
          <w:szCs w:val="28"/>
        </w:rPr>
      </w:pPr>
      <w:bookmarkStart w:id="9" w:name="page161"/>
      <w:bookmarkEnd w:id="9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– ввод греющего пара (два патрубка); В – выход сетевой воды; Д – отсос паровоздушной смеси; Е – подвод паровоздушной смеси из подогревателя с более высоким давлением пара; Ж – вход сетевой воды;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– патрубок отвода конденсата греющего пара из корпуса подогревателя в сборник конденсата; 1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– поворотная (задняя) водяная камера; 2 – линзовый компенсатор на корпусе; 3 – корпус подогревателя; 4 – входная передняя водяная камера; 5 – сборник конденсата.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Поворотная водяная камера (на рис. 60 слева) имеет сравнительно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не-большую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глубину, равную 700 мм, и служит для перепуска потока сетевой воды из одного пучка труб в другой. У двухходового подогревателя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поворот-ная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камера перегородок не имеет. У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четырехходового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она имеет одну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наклонную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под углом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523875" cy="238125"/>
            <wp:effectExtent l="19050" t="0" r="9525" b="0"/>
            <wp:docPr id="21" name="Рисунок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 вертикали перегородку с выгибом в средней части соответственно форме трубного пучка на входе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греющего пара.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Плос-кость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соприкосновения перегородки с трубной доской уплотняется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асбесто-выми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или свинцовыми прокладками. В днище поворотной камеры имеются два лаза для чистки труб, расположенных по разные стороны от перегородки.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Греющий пар из отбора турбины поступает в подогреватель через два патрубка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А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расположенных в верхней части корпуса подогревателя под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уг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лом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504825" cy="238125"/>
            <wp:effectExtent l="19050" t="0" r="9525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 горизонтали.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Внутри патрубков имеются концентрические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рас-секатели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, обеспечивающие равномерное распределение пара по поверхности теплообмена.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Для защиты поверхности нагрева от эрозии со 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>стороны входа пара в первом ряду пучка по его периферии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устанавливаются стальные трубы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– отбойники, в которые сетевая вода не поступает. Оси водяных камер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сме-щены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относительно оси корпуса подогревателя на 80 мм вбок под тем же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уг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-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лом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523875" cy="238125"/>
            <wp:effectExtent l="19050" t="0" r="9525" b="0"/>
            <wp:docPr id="23" name="Рисунок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сторону противоположную патрубкам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А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подвода греющего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па-ра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. Соответственно этому трубный пучок в корпусе подогревателя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располо-жен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эксцентрично, что позволяет создать внутри подогревателя в зоне,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при-мыкающей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 месту ввода пара, симметричный клиновой раздающий проход, охватывающий пучок. Это обеспечивает лучшее распределение парового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по-тока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по наружному контуру трубного пучка и облегчает доступ пара в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глуби-ну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пучка через предусмотренные в нем проходы. Поток пара движется в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по-догревателе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от периферии к центру, откуда осуществляется отсос воздуха.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Внутренний диаметр водяных камер меньше, чем внутренний диаметр корпуса подогревателя, и составляет 2100 мм при толщине стенки 16 мм, большей, чем у корпуса, поскольку расчетное давление воды больше, чем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па-ра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и составляет 0,8 МПа против 0,3 МПа для пара. Входная (передняя)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водя-ная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камера служит для подвода и отвода сетевой воды от подогревателя и</w:t>
      </w:r>
      <w:bookmarkStart w:id="10" w:name="page162"/>
      <w:bookmarkEnd w:id="10"/>
      <w:r w:rsid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sz w:val="28"/>
          <w:szCs w:val="28"/>
        </w:rPr>
        <w:t>имеет глубину около 2200 мм. Она имеет в нижней части на осевой линии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под углом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295275" cy="238125"/>
            <wp:effectExtent l="19050" t="0" r="9525" b="0"/>
            <wp:docPr id="24" name="Рисунок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 горизонтали патрубок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Ж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для подвода сетевой воды, а в верхней части с противоположной стороны на водяной камере под таким же углом к горизонтали расположен патрубок В для подвода сетевой воды.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Пе-регородки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во входной водяной камере имеют Х-образную форму, их ось</w:t>
      </w:r>
    </w:p>
    <w:p w:rsidR="006700EE" w:rsidRPr="001C0C63" w:rsidRDefault="006700EE" w:rsidP="001C0C63">
      <w:pPr>
        <w:ind w:left="260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симметрии имеет наклон к горизонтали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в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r w:rsidRPr="001C0C63">
        <w:rPr>
          <w:rFonts w:ascii="Times New Roman" w:eastAsia="Arial" w:hAnsi="Times New Roman" w:cs="Times New Roman"/>
          <w:noProof/>
          <w:sz w:val="28"/>
          <w:szCs w:val="28"/>
        </w:rPr>
        <w:drawing>
          <wp:inline distT="0" distB="0" distL="0" distR="0">
            <wp:extent cx="523875" cy="238125"/>
            <wp:effectExtent l="19050" t="0" r="952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" cy="238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соответственно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наклону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па-ровых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патрубков А. Для чистки труб поверхности нагрева во входной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водя-ной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камере имеются четыре лаза соответственно количеству отсеков между перегородками. Два лаза расположены на днище входной камеры, а два – на цилиндрической стенке. Крышки всех лазов подвешены на петлях и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крон-штейнах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. Центральный отсос воздуха из подогревателя к эжектору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осуществ-ляется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через патрубок Д.</w:t>
      </w: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1405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>нижней части корпуса подогревателя имеются два патрубка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для отвода дренажа в сборник конденсата греющего пара. В трубках,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соединяю-щих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корпус подогревателя с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конденсатосборником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установлены специально спрофилированные сопла (воронки), имеющие высокий коэффициент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расхо-да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при стоке конденсата из подогревателя в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конденсатосборник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низкий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ко-эффициент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обратную сторону. Эти ограничивается поступление в корпус подогревателя и в отбор турбины вторичного пара, который может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образо-ваться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в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конденсатосборнике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от вскипания находящегося в нем конденсата при сбросах нагрузки турбины, чем предотвращается возможный ее разгон этим паром. Сборник конденсата имеет диаметр 1000 мм. </w:t>
      </w: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Двойной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штрихов-кой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на нем показаны </w:t>
      </w:r>
      <w:r w:rsidRPr="001C0C63">
        <w:rPr>
          <w:rFonts w:ascii="Times New Roman" w:eastAsia="Arial" w:hAnsi="Times New Roman" w:cs="Times New Roman"/>
          <w:sz w:val="28"/>
          <w:szCs w:val="28"/>
        </w:rPr>
        <w:lastRenderedPageBreak/>
        <w:t xml:space="preserve">пределы регулирования уровня конденсата. В нижней части сборника конденсата имеется патрубок для отвода греющего пара на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всас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конденсатных насосов сетевого подогревателя.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Около трубных досок горизонтальных сетевых подогревателей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преду-смотрены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солевые отсеки для сбора и отвода засоленного присосами сетевой воды конденсата греющего пара. Основной поток конденсата греющего пара отводится из средней части корпуса подогревателя.</w:t>
      </w:r>
    </w:p>
    <w:p w:rsidR="006700EE" w:rsidRPr="001C0C63" w:rsidRDefault="006700EE" w:rsidP="001C0C63">
      <w:pPr>
        <w:ind w:left="260" w:firstLine="852"/>
        <w:jc w:val="both"/>
        <w:rPr>
          <w:rFonts w:ascii="Times New Roman" w:eastAsia="Arial" w:hAnsi="Times New Roman" w:cs="Times New Roman"/>
          <w:sz w:val="28"/>
          <w:szCs w:val="28"/>
        </w:rPr>
      </w:pPr>
      <w:r w:rsidRPr="001C0C63">
        <w:rPr>
          <w:rFonts w:ascii="Times New Roman" w:eastAsia="Arial" w:hAnsi="Times New Roman" w:cs="Times New Roman"/>
          <w:sz w:val="28"/>
          <w:szCs w:val="28"/>
        </w:rPr>
        <w:t xml:space="preserve">Для защиты корпуса сетевого подогревателя от повышения давления греющего пара предусмотрен предохранительный (атмосферный) клапан, </w:t>
      </w:r>
      <w:proofErr w:type="spellStart"/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ко-торый</w:t>
      </w:r>
      <w:proofErr w:type="spellEnd"/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присоединяется к специальному патрубку и имеет выхлоп в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атмосфе-ру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>.</w:t>
      </w:r>
    </w:p>
    <w:p w:rsidR="006700EE" w:rsidRPr="001C0C63" w:rsidRDefault="006700EE" w:rsidP="001C0C63">
      <w:pPr>
        <w:numPr>
          <w:ilvl w:val="0"/>
          <w:numId w:val="1"/>
        </w:numPr>
        <w:tabs>
          <w:tab w:val="clear" w:pos="0"/>
          <w:tab w:val="num" w:pos="360"/>
          <w:tab w:val="left" w:pos="1409"/>
        </w:tabs>
        <w:ind w:left="260" w:firstLine="854"/>
        <w:jc w:val="both"/>
        <w:rPr>
          <w:rFonts w:ascii="Times New Roman" w:eastAsia="Arial" w:hAnsi="Times New Roman" w:cs="Times New Roman"/>
          <w:sz w:val="28"/>
          <w:szCs w:val="28"/>
        </w:rPr>
      </w:pPr>
      <w:proofErr w:type="gramStart"/>
      <w:r w:rsidRPr="001C0C63">
        <w:rPr>
          <w:rFonts w:ascii="Times New Roman" w:eastAsia="Arial" w:hAnsi="Times New Roman" w:cs="Times New Roman"/>
          <w:sz w:val="28"/>
          <w:szCs w:val="28"/>
        </w:rPr>
        <w:t>целом</w:t>
      </w:r>
      <w:proofErr w:type="gram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конструкция подогревателя обеспечивает его хорошую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гер-метичность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, удобство ремонта, компенсацию температурных удлинений </w:t>
      </w:r>
      <w:proofErr w:type="spellStart"/>
      <w:r w:rsidRPr="001C0C63">
        <w:rPr>
          <w:rFonts w:ascii="Times New Roman" w:eastAsia="Arial" w:hAnsi="Times New Roman" w:cs="Times New Roman"/>
          <w:sz w:val="28"/>
          <w:szCs w:val="28"/>
        </w:rPr>
        <w:t>тру-бок</w:t>
      </w:r>
      <w:proofErr w:type="spellEnd"/>
      <w:r w:rsidRPr="001C0C63">
        <w:rPr>
          <w:rFonts w:ascii="Times New Roman" w:eastAsia="Arial" w:hAnsi="Times New Roman" w:cs="Times New Roman"/>
          <w:sz w:val="28"/>
          <w:szCs w:val="28"/>
        </w:rPr>
        <w:t xml:space="preserve"> и дренирование водяного парового пространства.</w:t>
      </w:r>
    </w:p>
    <w:sectPr w:rsidR="006700EE" w:rsidRPr="001C0C63" w:rsidSect="00E376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00002"/>
    <w:multiLevelType w:val="hybridMultilevel"/>
    <w:tmpl w:val="2157F6BC"/>
    <w:lvl w:ilvl="0" w:tplc="FFFFFFFF">
      <w:numFmt w:val="decim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2">
    <w:nsid w:val="00000003"/>
    <w:multiLevelType w:val="hybridMultilevel"/>
    <w:tmpl w:val="704E1DD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3">
    <w:nsid w:val="00000004"/>
    <w:multiLevelType w:val="hybridMultilevel"/>
    <w:tmpl w:val="1938D8FC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4">
    <w:nsid w:val="00000005"/>
    <w:multiLevelType w:val="hybridMultilevel"/>
    <w:tmpl w:val="0BFFAE18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5">
    <w:nsid w:val="00000006"/>
    <w:multiLevelType w:val="hybridMultilevel"/>
    <w:tmpl w:val="D7162A28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start w:val="5888"/>
      <w:numFmt w:val="decimal"/>
      <w:lvlText w:val=""/>
      <w:lvlJc w:val="left"/>
    </w:lvl>
    <w:lvl w:ilvl="4" w:tplc="FFFFFFFF">
      <w:start w:val="5888"/>
      <w:numFmt w:val="decimal"/>
      <w:lvlText w:val=""/>
      <w:lvlJc w:val="left"/>
    </w:lvl>
    <w:lvl w:ilvl="5" w:tplc="FFFFFFFF">
      <w:start w:val="5888"/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6">
    <w:nsid w:val="00000007"/>
    <w:multiLevelType w:val="hybridMultilevel"/>
    <w:tmpl w:val="2E48F044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null="1"/>
      <w:lvlJc w:val="left"/>
    </w:lvl>
    <w:lvl w:ilvl="3" w:tplc="FFFFFFFF">
      <w:start w:val="23"/>
      <w:numFmt w:val="decimal"/>
      <w:lvlText w:val="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abstractNum w:abstractNumId="7">
    <w:nsid w:val="00000008"/>
    <w:multiLevelType w:val="hybridMultilevel"/>
    <w:tmpl w:val="B91E2712"/>
    <w:lvl w:ilvl="0" w:tplc="FFFFFFFF">
      <w:start w:val="23"/>
      <w:numFmt w:val="decimal"/>
      <w:lvlText w:val=""/>
      <w:lvlJc w:val="left"/>
    </w:lvl>
    <w:lvl w:ilvl="1" w:tplc="FFFFFFFF">
      <w:start w:val="23"/>
      <w:numFmt w:val="decimal"/>
      <w:lvlText w:val=""/>
      <w:lvlJc w:val="left"/>
    </w:lvl>
    <w:lvl w:ilvl="2" w:tplc="FFFFFFFF">
      <w:numFmt w:val="none"/>
      <w:lvlText w:val=""/>
      <w:lvlJc w:val="left"/>
      <w:pPr>
        <w:tabs>
          <w:tab w:val="num" w:pos="360"/>
        </w:tabs>
      </w:pPr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start w:val="5888"/>
      <w:numFmt w:val="decimal"/>
      <w:lvlText w:val=""/>
      <w:lvlJc w:val="left"/>
    </w:lvl>
    <w:lvl w:ilvl="7" w:tplc="FFFFFFFF">
      <w:start w:val="5888"/>
      <w:numFmt w:val="decimal"/>
      <w:lvlText w:val=""/>
      <w:lvlJc w:val="left"/>
    </w:lvl>
    <w:lvl w:ilvl="8" w:tplc="FFFFFFFF">
      <w:start w:val="5888"/>
      <w:numFmt w:val="decimal"/>
      <w:lvlText w:val=""/>
      <w:lvlJc w:val="left"/>
    </w:lvl>
  </w:abstractNum>
  <w:abstractNum w:abstractNumId="8">
    <w:nsid w:val="00000009"/>
    <w:multiLevelType w:val="hybridMultilevel"/>
    <w:tmpl w:val="4BEE5A5A"/>
    <w:lvl w:ilvl="0" w:tplc="FFFFFFFF">
      <w:start w:val="5888"/>
      <w:numFmt w:val="decimal"/>
      <w:lvlText w:val=""/>
      <w:lvlJc w:val="left"/>
    </w:lvl>
    <w:lvl w:ilvl="1" w:tplc="FFFFFFFF">
      <w:start w:val="5888"/>
      <w:numFmt w:val="decimal"/>
      <w:lvlText w:val=""/>
      <w:lvlJc w:val="left"/>
    </w:lvl>
    <w:lvl w:ilvl="2" w:tplc="FFFFFFFF">
      <w:start w:val="5888"/>
      <w:numFmt w:val="decimal"/>
      <w:lvlText w:val=""/>
      <w:lvlJc w:val="left"/>
    </w:lvl>
    <w:lvl w:ilvl="3" w:tplc="FFFFFFFF">
      <w:start w:val="5888"/>
      <w:numFmt w:val="decimal"/>
      <w:lvlText w:null="1"/>
      <w:lvlJc w:val="left"/>
    </w:lvl>
    <w:lvl w:ilvl="4" w:tplc="FFFFFFFF">
      <w:start w:val="23"/>
      <w:numFmt w:val="decimal"/>
      <w:lvlText w:val=""/>
      <w:lvlJc w:val="left"/>
    </w:lvl>
    <w:lvl w:ilvl="5" w:tplc="FFFFFFFF">
      <w:start w:val="23"/>
      <w:numFmt w:val="decimal"/>
      <w:lvlText w:val=""/>
      <w:lvlJc w:val="left"/>
    </w:lvl>
    <w:lvl w:ilvl="6" w:tplc="FFFFFFFF">
      <w:start w:val="23"/>
      <w:numFmt w:val="decimal"/>
      <w:lvlText w:val=""/>
      <w:lvlJc w:val="left"/>
    </w:lvl>
    <w:lvl w:ilvl="7" w:tplc="FFFFFFFF">
      <w:start w:val="23"/>
      <w:numFmt w:val="decimal"/>
      <w:lvlText w:val=""/>
      <w:lvlJc w:val="left"/>
    </w:lvl>
    <w:lvl w:ilvl="8" w:tplc="FFFFFFFF">
      <w:start w:val="23"/>
      <w:numFmt w:val="decimal"/>
      <w:lvlText w:val=""/>
      <w:lvlJc w:val="left"/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1"/>
  </w:num>
  <w:num w:numId="6">
    <w:abstractNumId w:val="2"/>
  </w:num>
  <w:num w:numId="7">
    <w:abstractNumId w:val="3"/>
  </w:num>
  <w:num w:numId="8">
    <w:abstractNumId w:val="4"/>
  </w:num>
  <w:num w:numId="9">
    <w:abstractNumId w:val="5"/>
  </w:num>
  <w:num w:numId="10">
    <w:abstractNumId w:val="6"/>
  </w:num>
  <w:num w:numId="11">
    <w:abstractNumId w:val="7"/>
  </w:num>
  <w:num w:numId="12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00EE"/>
    <w:rsid w:val="001C0C63"/>
    <w:rsid w:val="003402D1"/>
    <w:rsid w:val="006700EE"/>
    <w:rsid w:val="008A28F0"/>
    <w:rsid w:val="0093149C"/>
    <w:rsid w:val="00CB5CAB"/>
    <w:rsid w:val="00DD3377"/>
    <w:rsid w:val="00E376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00EE"/>
    <w:rPr>
      <w:rFonts w:ascii="Calibri" w:eastAsia="Calibri" w:hAnsi="Calibri" w:cs="Arial"/>
    </w:rPr>
  </w:style>
  <w:style w:type="paragraph" w:styleId="1">
    <w:name w:val="heading 1"/>
    <w:basedOn w:val="a"/>
    <w:next w:val="a"/>
    <w:link w:val="10"/>
    <w:qFormat/>
    <w:rsid w:val="00CB5CAB"/>
    <w:pPr>
      <w:keepNext/>
      <w:jc w:val="both"/>
      <w:outlineLvl w:val="0"/>
    </w:pPr>
    <w:rPr>
      <w:b/>
      <w:bCs/>
      <w:color w:val="000000"/>
      <w:sz w:val="28"/>
      <w:szCs w:val="28"/>
    </w:rPr>
  </w:style>
  <w:style w:type="paragraph" w:styleId="2">
    <w:name w:val="heading 2"/>
    <w:basedOn w:val="a"/>
    <w:next w:val="a"/>
    <w:link w:val="20"/>
    <w:qFormat/>
    <w:rsid w:val="00CB5CAB"/>
    <w:pPr>
      <w:keepNext/>
      <w:spacing w:before="240" w:after="60"/>
      <w:outlineLvl w:val="1"/>
    </w:pPr>
    <w:rPr>
      <w:rFonts w:ascii="Arial" w:hAnsi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CB5CAB"/>
    <w:pPr>
      <w:keepNext/>
      <w:spacing w:before="240" w:after="60"/>
      <w:outlineLvl w:val="2"/>
    </w:pPr>
    <w:rPr>
      <w:rFonts w:ascii="Arial" w:hAnsi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CB5CAB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CB5CAB"/>
    <w:rPr>
      <w:b/>
      <w:bCs/>
      <w:color w:val="000000"/>
      <w:sz w:val="28"/>
      <w:szCs w:val="28"/>
      <w:lang w:eastAsia="ar-SA"/>
    </w:rPr>
  </w:style>
  <w:style w:type="character" w:customStyle="1" w:styleId="20">
    <w:name w:val="Заголовок 2 Знак"/>
    <w:basedOn w:val="a0"/>
    <w:link w:val="2"/>
    <w:rsid w:val="00CB5CAB"/>
    <w:rPr>
      <w:rFonts w:ascii="Arial" w:hAnsi="Arial" w:cs="Arial"/>
      <w:b/>
      <w:bCs/>
      <w:i/>
      <w:iCs/>
      <w:sz w:val="28"/>
      <w:szCs w:val="28"/>
      <w:lang w:eastAsia="ar-SA"/>
    </w:rPr>
  </w:style>
  <w:style w:type="character" w:customStyle="1" w:styleId="30">
    <w:name w:val="Заголовок 3 Знак"/>
    <w:basedOn w:val="a0"/>
    <w:link w:val="3"/>
    <w:rsid w:val="00CB5CAB"/>
    <w:rPr>
      <w:rFonts w:ascii="Arial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CB5CAB"/>
    <w:rPr>
      <w:b/>
      <w:bCs/>
      <w:sz w:val="28"/>
      <w:szCs w:val="28"/>
      <w:lang w:eastAsia="ar-SA"/>
    </w:rPr>
  </w:style>
  <w:style w:type="paragraph" w:styleId="a3">
    <w:name w:val="Title"/>
    <w:basedOn w:val="a"/>
    <w:next w:val="a"/>
    <w:link w:val="a4"/>
    <w:qFormat/>
    <w:rsid w:val="00CB5CAB"/>
    <w:pPr>
      <w:autoSpaceDE w:val="0"/>
      <w:jc w:val="center"/>
    </w:pPr>
    <w:rPr>
      <w:b/>
      <w:sz w:val="28"/>
    </w:rPr>
  </w:style>
  <w:style w:type="character" w:customStyle="1" w:styleId="a4">
    <w:name w:val="Название Знак"/>
    <w:basedOn w:val="a0"/>
    <w:link w:val="a3"/>
    <w:rsid w:val="00CB5CAB"/>
    <w:rPr>
      <w:b/>
      <w:sz w:val="28"/>
      <w:lang w:eastAsia="ar-SA"/>
    </w:rPr>
  </w:style>
  <w:style w:type="paragraph" w:styleId="a5">
    <w:name w:val="Subtitle"/>
    <w:basedOn w:val="a"/>
    <w:next w:val="a"/>
    <w:link w:val="a6"/>
    <w:qFormat/>
    <w:rsid w:val="00CB5CAB"/>
    <w:pPr>
      <w:keepNext/>
      <w:spacing w:before="240" w:after="120"/>
      <w:jc w:val="center"/>
    </w:pPr>
    <w:rPr>
      <w:rFonts w:ascii="Arial" w:eastAsia="Microsoft YaHei" w:hAnsi="Arial"/>
      <w:i/>
      <w:iCs/>
      <w:sz w:val="28"/>
      <w:szCs w:val="28"/>
    </w:rPr>
  </w:style>
  <w:style w:type="character" w:customStyle="1" w:styleId="a6">
    <w:name w:val="Подзаголовок Знак"/>
    <w:basedOn w:val="a0"/>
    <w:link w:val="a5"/>
    <w:rsid w:val="00CB5CAB"/>
    <w:rPr>
      <w:rFonts w:ascii="Arial" w:eastAsia="Microsoft YaHei" w:hAnsi="Arial" w:cs="Arial"/>
      <w:i/>
      <w:iCs/>
      <w:sz w:val="28"/>
      <w:szCs w:val="28"/>
      <w:lang w:eastAsia="ar-SA"/>
    </w:rPr>
  </w:style>
  <w:style w:type="paragraph" w:styleId="a7">
    <w:name w:val="Body Text"/>
    <w:basedOn w:val="a"/>
    <w:link w:val="a8"/>
    <w:uiPriority w:val="99"/>
    <w:semiHidden/>
    <w:unhideWhenUsed/>
    <w:rsid w:val="00CB5CAB"/>
    <w:pPr>
      <w:spacing w:after="120"/>
    </w:pPr>
  </w:style>
  <w:style w:type="character" w:customStyle="1" w:styleId="a8">
    <w:name w:val="Основной текст Знак"/>
    <w:basedOn w:val="a0"/>
    <w:link w:val="a7"/>
    <w:uiPriority w:val="99"/>
    <w:semiHidden/>
    <w:rsid w:val="00CB5CAB"/>
    <w:rPr>
      <w:sz w:val="24"/>
      <w:szCs w:val="24"/>
      <w:lang w:eastAsia="ar-SA"/>
    </w:rPr>
  </w:style>
  <w:style w:type="paragraph" w:styleId="a9">
    <w:name w:val="Balloon Text"/>
    <w:basedOn w:val="a"/>
    <w:link w:val="aa"/>
    <w:uiPriority w:val="99"/>
    <w:semiHidden/>
    <w:unhideWhenUsed/>
    <w:rsid w:val="006700E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6700EE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26" Type="http://schemas.openxmlformats.org/officeDocument/2006/relationships/image" Target="media/image21.jpeg"/><Relationship Id="rId3" Type="http://schemas.openxmlformats.org/officeDocument/2006/relationships/styles" Target="styles.xml"/><Relationship Id="rId21" Type="http://schemas.openxmlformats.org/officeDocument/2006/relationships/image" Target="media/image16.jpeg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image" Target="media/image12.jpeg"/><Relationship Id="rId25" Type="http://schemas.openxmlformats.org/officeDocument/2006/relationships/image" Target="media/image20.jpe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image" Target="media/image15.jpeg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24" Type="http://schemas.openxmlformats.org/officeDocument/2006/relationships/image" Target="media/image19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image" Target="media/image18.jpeg"/><Relationship Id="rId28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image" Target="media/image14.jpeg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image" Target="media/image17.jpeg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32FDBF-468C-441B-BF5B-924AD0AA7F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13</Pages>
  <Words>3145</Words>
  <Characters>17930</Characters>
  <Application>Microsoft Office Word</Application>
  <DocSecurity>0</DocSecurity>
  <Lines>149</Lines>
  <Paragraphs>42</Paragraphs>
  <ScaleCrop>false</ScaleCrop>
  <Company/>
  <LinksUpToDate>false</LinksUpToDate>
  <CharactersWithSpaces>21033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2020-09-01T18:15:00Z</dcterms:created>
  <dcterms:modified xsi:type="dcterms:W3CDTF">2020-09-05T08:24:00Z</dcterms:modified>
</cp:coreProperties>
</file>